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市评职称申报流程</w:t>
      </w:r>
    </w:p>
    <w:p>
      <w:p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24"/>
          <w:szCs w:val="24"/>
        </w:rPr>
        <w:t>（本流程对申报卫生专业技术人员职称、高校教师职称、党校教师职称、中等职业学校教师职称、中小学教师职称、技工学校教师职称、体育专业人员职称、乡村工匠专业人才职称不适用）</w:t>
      </w: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63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3970" b="317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>
      <w:pPr>
        <w:numPr>
          <w:ilvl w:val="0"/>
          <w:numId w:val="3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190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48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11430" b="1333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0160" b="1333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270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1333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5A7A"/>
    <w:rsid w:val="06EC4BBC"/>
    <w:rsid w:val="6D38427A"/>
    <w:rsid w:val="721A5A7A"/>
    <w:rsid w:val="7A5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2026-01-14T13:55:00Z</dcterms:created>
  <dc:creator>lxh</dc:creator>
  <cp:lastModifiedBy>lxh</cp:lastModifiedBy>
  <dcterms:modified xsi:type="dcterms:W3CDTF">2026-01-16T06:45:13Z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